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841"/>
        <w:tblW w:w="14170" w:type="dxa"/>
        <w:tblLook w:val="04A0" w:firstRow="1" w:lastRow="0" w:firstColumn="1" w:lastColumn="0" w:noHBand="0" w:noVBand="1"/>
      </w:tblPr>
      <w:tblGrid>
        <w:gridCol w:w="988"/>
        <w:gridCol w:w="1985"/>
        <w:gridCol w:w="11197"/>
      </w:tblGrid>
      <w:tr w:rsidR="00CE6742" w:rsidTr="00CE6742">
        <w:tc>
          <w:tcPr>
            <w:tcW w:w="988" w:type="dxa"/>
          </w:tcPr>
          <w:p w:rsidR="00CE6742" w:rsidRDefault="00CE6742" w:rsidP="00CE6742"/>
        </w:tc>
        <w:tc>
          <w:tcPr>
            <w:tcW w:w="1985" w:type="dxa"/>
          </w:tcPr>
          <w:p w:rsidR="00CE6742" w:rsidRDefault="00CE6742" w:rsidP="00CE6742">
            <w:pPr>
              <w:rPr>
                <w:b/>
                <w:sz w:val="28"/>
                <w:u w:val="single"/>
              </w:rPr>
            </w:pPr>
            <w:r>
              <w:rPr>
                <w:b/>
                <w:sz w:val="28"/>
                <w:u w:val="single"/>
              </w:rPr>
              <w:t>Sequencing</w:t>
            </w:r>
          </w:p>
          <w:p w:rsidR="00CE6742" w:rsidRPr="00CE6742" w:rsidRDefault="00CE6742" w:rsidP="00CE6742">
            <w:pPr>
              <w:rPr>
                <w:b/>
                <w:sz w:val="28"/>
                <w:u w:val="single"/>
              </w:rPr>
            </w:pPr>
            <w:r>
              <w:rPr>
                <w:b/>
                <w:sz w:val="28"/>
                <w:u w:val="single"/>
              </w:rPr>
              <w:t>‘Small Steps’</w:t>
            </w:r>
          </w:p>
        </w:tc>
        <w:tc>
          <w:tcPr>
            <w:tcW w:w="11197" w:type="dxa"/>
          </w:tcPr>
          <w:p w:rsidR="00CE6742" w:rsidRPr="00CE6742" w:rsidRDefault="00CE6742" w:rsidP="00CE6742">
            <w:pPr>
              <w:rPr>
                <w:b/>
                <w:sz w:val="28"/>
                <w:u w:val="single"/>
              </w:rPr>
            </w:pPr>
            <w:r w:rsidRPr="00CE6742">
              <w:rPr>
                <w:b/>
                <w:sz w:val="28"/>
                <w:u w:val="single"/>
              </w:rPr>
              <w:t>Written calculation and appropriate models an images to support conceptual understanding</w:t>
            </w:r>
          </w:p>
        </w:tc>
      </w:tr>
      <w:tr w:rsidR="00CE6742" w:rsidTr="00CE6742">
        <w:tc>
          <w:tcPr>
            <w:tcW w:w="988" w:type="dxa"/>
            <w:vMerge w:val="restart"/>
          </w:tcPr>
          <w:p w:rsidR="00CE6742" w:rsidRDefault="00000B8C" w:rsidP="00CE6742">
            <w:r>
              <w:t>Stage 6</w:t>
            </w:r>
          </w:p>
        </w:tc>
        <w:tc>
          <w:tcPr>
            <w:tcW w:w="1985" w:type="dxa"/>
          </w:tcPr>
          <w:p w:rsidR="00CE6742" w:rsidRPr="00CE6742" w:rsidRDefault="00CE6742" w:rsidP="00CE6742">
            <w:pPr>
              <w:rPr>
                <w:b/>
                <w:color w:val="FF0000"/>
                <w:u w:val="single"/>
              </w:rPr>
            </w:pPr>
            <w:r w:rsidRPr="00CE6742">
              <w:rPr>
                <w:b/>
                <w:color w:val="FF0000"/>
                <w:u w:val="single"/>
              </w:rPr>
              <w:t>Step 1</w:t>
            </w:r>
          </w:p>
          <w:p w:rsidR="00CE6742" w:rsidRDefault="00CE6742" w:rsidP="00CE6742">
            <w:r>
              <w:t>Visual representations</w:t>
            </w:r>
          </w:p>
          <w:p w:rsidR="00000B8C" w:rsidRDefault="00000B8C" w:rsidP="00CE6742">
            <w:r>
              <w:t>(Recovery from Y5)</w:t>
            </w:r>
          </w:p>
        </w:tc>
        <w:tc>
          <w:tcPr>
            <w:tcW w:w="11197" w:type="dxa"/>
          </w:tcPr>
          <w:p w:rsidR="00CE6742" w:rsidRDefault="00CE6742" w:rsidP="00CE6742">
            <w:r>
              <w:t>Children are introduced to ‘per cent’ for the first time and will understand that ‘per cent’ relates to ‘number of parts per hundred’. They will explore this through different representations which show different parts of a hundred. Children will use ‘number of parts per hundred’ alongside the % symbol.</w:t>
            </w:r>
          </w:p>
          <w:p w:rsidR="00CE6742" w:rsidRDefault="00CE6742" w:rsidP="00360708">
            <w:r>
              <w:rPr>
                <w:noProof/>
                <w:lang w:eastAsia="en-GB"/>
              </w:rPr>
              <w:drawing>
                <wp:inline distT="0" distB="0" distL="0" distR="0" wp14:anchorId="4C0ED43A" wp14:editId="6FF099FF">
                  <wp:extent cx="1866900" cy="1756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8120" t="31890" r="19227" b="13494"/>
                          <a:stretch/>
                        </pic:blipFill>
                        <pic:spPr bwMode="auto">
                          <a:xfrm>
                            <a:off x="0" y="0"/>
                            <a:ext cx="1873095" cy="1762188"/>
                          </a:xfrm>
                          <a:prstGeom prst="rect">
                            <a:avLst/>
                          </a:prstGeom>
                          <a:ln>
                            <a:noFill/>
                          </a:ln>
                          <a:extLst>
                            <a:ext uri="{53640926-AAD7-44D8-BBD7-CCE9431645EC}">
                              <a14:shadowObscured xmlns:a14="http://schemas.microsoft.com/office/drawing/2010/main"/>
                            </a:ext>
                          </a:extLst>
                        </pic:spPr>
                      </pic:pic>
                    </a:graphicData>
                  </a:graphic>
                </wp:inline>
              </w:drawing>
            </w:r>
          </w:p>
        </w:tc>
      </w:tr>
      <w:tr w:rsidR="00CE6742" w:rsidTr="00CE6742">
        <w:tc>
          <w:tcPr>
            <w:tcW w:w="988" w:type="dxa"/>
            <w:vMerge/>
          </w:tcPr>
          <w:p w:rsidR="00CE6742" w:rsidRDefault="00CE6742" w:rsidP="00CE6742"/>
        </w:tc>
        <w:tc>
          <w:tcPr>
            <w:tcW w:w="1985" w:type="dxa"/>
          </w:tcPr>
          <w:p w:rsidR="00CE6742" w:rsidRPr="00CE6742" w:rsidRDefault="00CE6742" w:rsidP="00CE6742">
            <w:pPr>
              <w:rPr>
                <w:b/>
                <w:color w:val="FF0000"/>
                <w:u w:val="single"/>
              </w:rPr>
            </w:pPr>
            <w:r w:rsidRPr="00CE6742">
              <w:rPr>
                <w:b/>
                <w:color w:val="FF0000"/>
                <w:u w:val="single"/>
              </w:rPr>
              <w:t>Step 2</w:t>
            </w:r>
          </w:p>
          <w:p w:rsidR="00CE6742" w:rsidRDefault="00000B8C" w:rsidP="00CE6742">
            <w:r>
              <w:t>Fluency</w:t>
            </w:r>
          </w:p>
        </w:tc>
        <w:tc>
          <w:tcPr>
            <w:tcW w:w="11197" w:type="dxa"/>
          </w:tcPr>
          <w:p w:rsidR="00CE6742" w:rsidRDefault="00000B8C" w:rsidP="00CE6742">
            <w:r>
              <w:t>It is important that children understand that ‘percent’ means ‘out of 100’. Children will be familiar with converting some common fractions from their work in Year 5 They learn to convert fractions to equivalent fractions where the denominator is 100 in order to find the percentage equivalent.</w:t>
            </w:r>
          </w:p>
          <w:p w:rsidR="00000B8C" w:rsidRDefault="00000B8C" w:rsidP="00CE6742">
            <w:r>
              <w:rPr>
                <w:noProof/>
                <w:lang w:eastAsia="en-GB"/>
              </w:rPr>
              <w:lastRenderedPageBreak/>
              <w:drawing>
                <wp:inline distT="0" distB="0" distL="0" distR="0" wp14:anchorId="464FC2BA" wp14:editId="1737428D">
                  <wp:extent cx="1762125" cy="159487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9736" t="33112" r="19048" b="16656"/>
                          <a:stretch/>
                        </pic:blipFill>
                        <pic:spPr bwMode="auto">
                          <a:xfrm>
                            <a:off x="0" y="0"/>
                            <a:ext cx="1765214" cy="1597668"/>
                          </a:xfrm>
                          <a:prstGeom prst="rect">
                            <a:avLst/>
                          </a:prstGeom>
                          <a:ln>
                            <a:noFill/>
                          </a:ln>
                          <a:extLst>
                            <a:ext uri="{53640926-AAD7-44D8-BBD7-CCE9431645EC}">
                              <a14:shadowObscured xmlns:a14="http://schemas.microsoft.com/office/drawing/2010/main"/>
                            </a:ext>
                          </a:extLst>
                        </pic:spPr>
                      </pic:pic>
                    </a:graphicData>
                  </a:graphic>
                </wp:inline>
              </w:drawing>
            </w:r>
          </w:p>
        </w:tc>
      </w:tr>
      <w:tr w:rsidR="00CE6742" w:rsidTr="00CE6742">
        <w:tc>
          <w:tcPr>
            <w:tcW w:w="988" w:type="dxa"/>
            <w:vMerge/>
          </w:tcPr>
          <w:p w:rsidR="00CE6742" w:rsidRDefault="00CE6742" w:rsidP="00CE6742"/>
        </w:tc>
        <w:tc>
          <w:tcPr>
            <w:tcW w:w="1985" w:type="dxa"/>
          </w:tcPr>
          <w:p w:rsidR="00CE6742" w:rsidRPr="00CE6742" w:rsidRDefault="00CE6742" w:rsidP="00CE6742">
            <w:pPr>
              <w:rPr>
                <w:b/>
                <w:color w:val="FF0000"/>
                <w:u w:val="single"/>
              </w:rPr>
            </w:pPr>
            <w:r w:rsidRPr="00CE6742">
              <w:rPr>
                <w:b/>
                <w:color w:val="FF0000"/>
                <w:u w:val="single"/>
              </w:rPr>
              <w:t>Step 3</w:t>
            </w:r>
          </w:p>
          <w:p w:rsidR="00CE6742" w:rsidRDefault="00CE6742" w:rsidP="00CE6742">
            <w:r>
              <w:t>Equivalence</w:t>
            </w:r>
          </w:p>
        </w:tc>
        <w:tc>
          <w:tcPr>
            <w:tcW w:w="11197" w:type="dxa"/>
          </w:tcPr>
          <w:p w:rsidR="00CE6742" w:rsidRDefault="00000B8C" w:rsidP="00CE6742">
            <w:r>
              <w:t>Children use their knowledge of common equivalent fractions and decimals to find the equivalent percentage. A common misconception is that 0.1 is equivalent to 1%. Diagrams may be useful to support understanding the difference between tenths and hundredths and their equivalent percentages</w:t>
            </w:r>
          </w:p>
          <w:p w:rsidR="00360708" w:rsidRDefault="00360708" w:rsidP="00CE6742">
            <w:r>
              <w:rPr>
                <w:noProof/>
                <w:lang w:eastAsia="en-GB"/>
              </w:rPr>
              <w:drawing>
                <wp:inline distT="0" distB="0" distL="0" distR="0" wp14:anchorId="73F33B82" wp14:editId="77E9D21E">
                  <wp:extent cx="1743075" cy="149904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947" t="35181" r="18307" b="16280"/>
                          <a:stretch/>
                        </pic:blipFill>
                        <pic:spPr bwMode="auto">
                          <a:xfrm>
                            <a:off x="0" y="0"/>
                            <a:ext cx="1752523" cy="1507170"/>
                          </a:xfrm>
                          <a:prstGeom prst="rect">
                            <a:avLst/>
                          </a:prstGeom>
                          <a:ln>
                            <a:noFill/>
                          </a:ln>
                          <a:extLst>
                            <a:ext uri="{53640926-AAD7-44D8-BBD7-CCE9431645EC}">
                              <a14:shadowObscured xmlns:a14="http://schemas.microsoft.com/office/drawing/2010/main"/>
                            </a:ext>
                          </a:extLst>
                        </pic:spPr>
                      </pic:pic>
                    </a:graphicData>
                  </a:graphic>
                </wp:inline>
              </w:drawing>
            </w:r>
          </w:p>
        </w:tc>
      </w:tr>
      <w:tr w:rsidR="00360708" w:rsidTr="00CE6742">
        <w:tc>
          <w:tcPr>
            <w:tcW w:w="988" w:type="dxa"/>
          </w:tcPr>
          <w:p w:rsidR="00360708" w:rsidRDefault="00360708" w:rsidP="00CE6742"/>
        </w:tc>
        <w:tc>
          <w:tcPr>
            <w:tcW w:w="1985" w:type="dxa"/>
          </w:tcPr>
          <w:p w:rsidR="00360708" w:rsidRPr="00CE6742" w:rsidRDefault="00360708" w:rsidP="00360708">
            <w:pPr>
              <w:rPr>
                <w:b/>
                <w:color w:val="FF0000"/>
                <w:u w:val="single"/>
              </w:rPr>
            </w:pPr>
            <w:r>
              <w:rPr>
                <w:b/>
                <w:color w:val="FF0000"/>
                <w:u w:val="single"/>
              </w:rPr>
              <w:t>Step 4</w:t>
            </w:r>
          </w:p>
          <w:p w:rsidR="00360708" w:rsidRPr="00CE6742" w:rsidRDefault="00360708" w:rsidP="00360708">
            <w:pPr>
              <w:rPr>
                <w:b/>
                <w:color w:val="FF0000"/>
                <w:u w:val="single"/>
              </w:rPr>
            </w:pPr>
            <w:r>
              <w:t>Ordering FDP</w:t>
            </w:r>
          </w:p>
        </w:tc>
        <w:tc>
          <w:tcPr>
            <w:tcW w:w="11197" w:type="dxa"/>
          </w:tcPr>
          <w:p w:rsidR="00360708" w:rsidRDefault="00360708" w:rsidP="00CE6742">
            <w:r>
              <w:t>Children convert between fractions, decimals and percentages to enable them to order and compare them. Encourage them to convert each number to the same form so that they can be more easily ordered and compared. Once the children have compared the numbers, they will need to put them back into the original form to answer the question.</w:t>
            </w:r>
          </w:p>
          <w:p w:rsidR="00360708" w:rsidRDefault="00360708" w:rsidP="00CE6742">
            <w:r>
              <w:rPr>
                <w:noProof/>
                <w:lang w:eastAsia="en-GB"/>
              </w:rPr>
              <w:drawing>
                <wp:inline distT="0" distB="0" distL="0" distR="0" wp14:anchorId="7D016A33" wp14:editId="78E249A6">
                  <wp:extent cx="2114550" cy="13774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0053" t="24271" r="19894" b="40924"/>
                          <a:stretch/>
                        </pic:blipFill>
                        <pic:spPr bwMode="auto">
                          <a:xfrm>
                            <a:off x="0" y="0"/>
                            <a:ext cx="2117134" cy="1379119"/>
                          </a:xfrm>
                          <a:prstGeom prst="rect">
                            <a:avLst/>
                          </a:prstGeom>
                          <a:ln>
                            <a:noFill/>
                          </a:ln>
                          <a:extLst>
                            <a:ext uri="{53640926-AAD7-44D8-BBD7-CCE9431645EC}">
                              <a14:shadowObscured xmlns:a14="http://schemas.microsoft.com/office/drawing/2010/main"/>
                            </a:ext>
                          </a:extLst>
                        </pic:spPr>
                      </pic:pic>
                    </a:graphicData>
                  </a:graphic>
                </wp:inline>
              </w:drawing>
            </w:r>
          </w:p>
        </w:tc>
      </w:tr>
      <w:tr w:rsidR="00360708" w:rsidTr="00CE6742">
        <w:tc>
          <w:tcPr>
            <w:tcW w:w="988" w:type="dxa"/>
          </w:tcPr>
          <w:p w:rsidR="00360708" w:rsidRDefault="00360708" w:rsidP="00CE6742"/>
        </w:tc>
        <w:tc>
          <w:tcPr>
            <w:tcW w:w="1985" w:type="dxa"/>
          </w:tcPr>
          <w:p w:rsidR="00360708" w:rsidRDefault="00360708" w:rsidP="00360708">
            <w:pPr>
              <w:rPr>
                <w:b/>
                <w:color w:val="FF0000"/>
                <w:u w:val="single"/>
              </w:rPr>
            </w:pPr>
            <w:r>
              <w:rPr>
                <w:b/>
                <w:color w:val="FF0000"/>
                <w:u w:val="single"/>
              </w:rPr>
              <w:t>Step 5</w:t>
            </w:r>
          </w:p>
          <w:p w:rsidR="00360708" w:rsidRPr="00360708" w:rsidRDefault="00360708" w:rsidP="00360708">
            <w:pPr>
              <w:rPr>
                <w:color w:val="FF0000"/>
              </w:rPr>
            </w:pPr>
            <w:r w:rsidRPr="00360708">
              <w:t>Percentages of amounts (1)</w:t>
            </w:r>
          </w:p>
        </w:tc>
        <w:tc>
          <w:tcPr>
            <w:tcW w:w="11197" w:type="dxa"/>
          </w:tcPr>
          <w:p w:rsidR="00360708" w:rsidRDefault="00360708" w:rsidP="00CE6742">
            <w:r>
              <w:t>Children use known fractional equivalences to find percentages of amounts. Bar models and other visual representations may be useful in supporting this e.g. 25% = 1 4 so we divide into 4 equal parts. In this step, we focus on 50%, 25%, 10% and 1% only.</w:t>
            </w:r>
          </w:p>
          <w:p w:rsidR="00360708" w:rsidRDefault="00360708" w:rsidP="00CE6742">
            <w:r>
              <w:rPr>
                <w:noProof/>
                <w:lang w:eastAsia="en-GB"/>
              </w:rPr>
              <w:drawing>
                <wp:inline distT="0" distB="0" distL="0" distR="0" wp14:anchorId="1D8F6247" wp14:editId="67BEA21D">
                  <wp:extent cx="1657350" cy="1257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947" t="38380" r="19365" b="20231"/>
                          <a:stretch/>
                        </pic:blipFill>
                        <pic:spPr bwMode="auto">
                          <a:xfrm>
                            <a:off x="0" y="0"/>
                            <a:ext cx="1661311" cy="1260305"/>
                          </a:xfrm>
                          <a:prstGeom prst="rect">
                            <a:avLst/>
                          </a:prstGeom>
                          <a:ln>
                            <a:noFill/>
                          </a:ln>
                          <a:extLst>
                            <a:ext uri="{53640926-AAD7-44D8-BBD7-CCE9431645EC}">
                              <a14:shadowObscured xmlns:a14="http://schemas.microsoft.com/office/drawing/2010/main"/>
                            </a:ext>
                          </a:extLst>
                        </pic:spPr>
                      </pic:pic>
                    </a:graphicData>
                  </a:graphic>
                </wp:inline>
              </w:drawing>
            </w:r>
          </w:p>
        </w:tc>
      </w:tr>
      <w:tr w:rsidR="00360708" w:rsidTr="00CE6742">
        <w:tc>
          <w:tcPr>
            <w:tcW w:w="988" w:type="dxa"/>
          </w:tcPr>
          <w:p w:rsidR="00360708" w:rsidRDefault="00360708" w:rsidP="00CE6742"/>
        </w:tc>
        <w:tc>
          <w:tcPr>
            <w:tcW w:w="1985" w:type="dxa"/>
          </w:tcPr>
          <w:p w:rsidR="00360708" w:rsidRPr="00360708" w:rsidRDefault="00360708" w:rsidP="00360708">
            <w:pPr>
              <w:rPr>
                <w:b/>
                <w:color w:val="FF0000"/>
                <w:u w:val="single"/>
              </w:rPr>
            </w:pPr>
            <w:r>
              <w:rPr>
                <w:b/>
                <w:color w:val="FF0000"/>
                <w:u w:val="single"/>
              </w:rPr>
              <w:t>Step 6</w:t>
            </w:r>
          </w:p>
          <w:p w:rsidR="00360708" w:rsidRPr="00360708" w:rsidRDefault="00360708" w:rsidP="00360708">
            <w:pPr>
              <w:rPr>
                <w:color w:val="FF0000"/>
              </w:rPr>
            </w:pPr>
            <w:r>
              <w:t>Percentages of amounts (2</w:t>
            </w:r>
            <w:r w:rsidRPr="00360708">
              <w:t>)</w:t>
            </w:r>
          </w:p>
        </w:tc>
        <w:tc>
          <w:tcPr>
            <w:tcW w:w="11197" w:type="dxa"/>
          </w:tcPr>
          <w:p w:rsidR="00360708" w:rsidRDefault="00360708" w:rsidP="00CE6742">
            <w:r>
              <w:t>Children build on the last step by finding multiples of 10% and other known percentages. They explore different methods of finding certain percentages e.g. Finding 20% by dividing by 10 and multiplying by 2 or by dividing by 5. They also explore finding 5% by finding half of 10%. Using these methods, children build up to find percentages such as 35%</w:t>
            </w:r>
          </w:p>
          <w:p w:rsidR="00360708" w:rsidRDefault="00360708" w:rsidP="00CE6742">
            <w:r>
              <w:rPr>
                <w:noProof/>
                <w:lang w:eastAsia="en-GB"/>
              </w:rPr>
              <w:drawing>
                <wp:inline distT="0" distB="0" distL="0" distR="0" wp14:anchorId="797A6E5C" wp14:editId="12676BB1">
                  <wp:extent cx="1762125" cy="18147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0053" t="29537" r="21587" b="18538"/>
                          <a:stretch/>
                        </pic:blipFill>
                        <pic:spPr bwMode="auto">
                          <a:xfrm>
                            <a:off x="0" y="0"/>
                            <a:ext cx="1773316" cy="1826251"/>
                          </a:xfrm>
                          <a:prstGeom prst="rect">
                            <a:avLst/>
                          </a:prstGeom>
                          <a:ln>
                            <a:noFill/>
                          </a:ln>
                          <a:extLst>
                            <a:ext uri="{53640926-AAD7-44D8-BBD7-CCE9431645EC}">
                              <a14:shadowObscured xmlns:a14="http://schemas.microsoft.com/office/drawing/2010/main"/>
                            </a:ext>
                          </a:extLst>
                        </pic:spPr>
                      </pic:pic>
                    </a:graphicData>
                  </a:graphic>
                </wp:inline>
              </w:drawing>
            </w:r>
          </w:p>
        </w:tc>
      </w:tr>
      <w:tr w:rsidR="00360708" w:rsidTr="00CE6742">
        <w:tc>
          <w:tcPr>
            <w:tcW w:w="988" w:type="dxa"/>
          </w:tcPr>
          <w:p w:rsidR="00360708" w:rsidRDefault="00360708" w:rsidP="00CE6742"/>
        </w:tc>
        <w:tc>
          <w:tcPr>
            <w:tcW w:w="1985" w:type="dxa"/>
          </w:tcPr>
          <w:p w:rsidR="00360708" w:rsidRDefault="00360708" w:rsidP="00360708">
            <w:pPr>
              <w:rPr>
                <w:b/>
                <w:color w:val="FF0000"/>
                <w:u w:val="single"/>
              </w:rPr>
            </w:pPr>
            <w:r>
              <w:rPr>
                <w:b/>
                <w:color w:val="FF0000"/>
                <w:u w:val="single"/>
              </w:rPr>
              <w:t>Step 7</w:t>
            </w:r>
          </w:p>
          <w:p w:rsidR="00360708" w:rsidRPr="00360708" w:rsidRDefault="00360708" w:rsidP="00360708">
            <w:pPr>
              <w:rPr>
                <w:color w:val="FF0000"/>
              </w:rPr>
            </w:pPr>
            <w:r w:rsidRPr="00360708">
              <w:t>Missing values</w:t>
            </w:r>
          </w:p>
        </w:tc>
        <w:tc>
          <w:tcPr>
            <w:tcW w:w="11197" w:type="dxa"/>
          </w:tcPr>
          <w:p w:rsidR="00360708" w:rsidRDefault="00360708" w:rsidP="00CE6742">
            <w:r>
              <w:t>Children use their understanding of percentages to find the missing whole or a missing percentage when the other values are given. They may find it useful to draw a bar model to help them see the relationship between the given percentage or amount and the whole. It is important that children see that there may be more than one way to solve a problem and that some methods are more efficient than others.</w:t>
            </w:r>
          </w:p>
          <w:p w:rsidR="00360708" w:rsidRDefault="00360708" w:rsidP="00CE6742">
            <w:bookmarkStart w:id="0" w:name="_GoBack"/>
            <w:r>
              <w:rPr>
                <w:noProof/>
                <w:lang w:eastAsia="en-GB"/>
              </w:rPr>
              <w:lastRenderedPageBreak/>
              <w:drawing>
                <wp:inline distT="0" distB="0" distL="0" distR="0" wp14:anchorId="5EA2039E" wp14:editId="021098DC">
                  <wp:extent cx="2819400" cy="1628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9736" t="45340" r="18941" b="22488"/>
                          <a:stretch/>
                        </pic:blipFill>
                        <pic:spPr bwMode="auto">
                          <a:xfrm>
                            <a:off x="0" y="0"/>
                            <a:ext cx="2819400" cy="1628775"/>
                          </a:xfrm>
                          <a:prstGeom prst="rect">
                            <a:avLst/>
                          </a:prstGeom>
                          <a:ln>
                            <a:noFill/>
                          </a:ln>
                          <a:extLst>
                            <a:ext uri="{53640926-AAD7-44D8-BBD7-CCE9431645EC}">
                              <a14:shadowObscured xmlns:a14="http://schemas.microsoft.com/office/drawing/2010/main"/>
                            </a:ext>
                          </a:extLst>
                        </pic:spPr>
                      </pic:pic>
                    </a:graphicData>
                  </a:graphic>
                </wp:inline>
              </w:drawing>
            </w:r>
            <w:bookmarkEnd w:id="0"/>
          </w:p>
        </w:tc>
      </w:tr>
    </w:tbl>
    <w:p w:rsidR="003E53C8" w:rsidRDefault="003E53C8" w:rsidP="00CE6742"/>
    <w:sectPr w:rsidR="003E53C8" w:rsidSect="00D858F8">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742" w:rsidRDefault="00CE6742" w:rsidP="00CE6742">
      <w:pPr>
        <w:spacing w:after="0" w:line="240" w:lineRule="auto"/>
      </w:pPr>
      <w:r>
        <w:separator/>
      </w:r>
    </w:p>
  </w:endnote>
  <w:endnote w:type="continuationSeparator" w:id="0">
    <w:p w:rsidR="00CE6742" w:rsidRDefault="00CE6742" w:rsidP="00CE6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742" w:rsidRDefault="00CE6742" w:rsidP="00CE6742">
      <w:pPr>
        <w:spacing w:after="0" w:line="240" w:lineRule="auto"/>
      </w:pPr>
      <w:r>
        <w:separator/>
      </w:r>
    </w:p>
  </w:footnote>
  <w:footnote w:type="continuationSeparator" w:id="0">
    <w:p w:rsidR="00CE6742" w:rsidRDefault="00CE6742" w:rsidP="00CE6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742" w:rsidRPr="00CE6742" w:rsidRDefault="00CE6742">
    <w:pPr>
      <w:pStyle w:val="Header"/>
      <w:rPr>
        <w:sz w:val="32"/>
      </w:rPr>
    </w:pPr>
    <w:r w:rsidRPr="00CE6742">
      <w:rPr>
        <w:sz w:val="32"/>
      </w:rPr>
      <w:t>Percentages</w:t>
    </w:r>
    <w:r>
      <w:rPr>
        <w:sz w:val="32"/>
      </w:rPr>
      <w:t xml:space="preserve"> – Year </w:t>
    </w:r>
    <w:r w:rsidR="00000B8C">
      <w:rPr>
        <w:sz w:val="32"/>
      </w:rPr>
      <w:t>6</w:t>
    </w:r>
    <w:r>
      <w:rPr>
        <w:sz w:val="32"/>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8F8"/>
    <w:rsid w:val="00000B8C"/>
    <w:rsid w:val="00360708"/>
    <w:rsid w:val="003E53C8"/>
    <w:rsid w:val="00CE6742"/>
    <w:rsid w:val="00D85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26128"/>
  <w15:chartTrackingRefBased/>
  <w15:docId w15:val="{C20D531E-EB47-4EA8-A622-A18280AC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5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6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742"/>
  </w:style>
  <w:style w:type="paragraph" w:styleId="Footer">
    <w:name w:val="footer"/>
    <w:basedOn w:val="Normal"/>
    <w:link w:val="FooterChar"/>
    <w:uiPriority w:val="99"/>
    <w:unhideWhenUsed/>
    <w:rsid w:val="00CE6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8D565-75A0-4912-85F6-B943902B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385</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Blues</dc:creator>
  <cp:keywords/>
  <dc:description/>
  <cp:lastModifiedBy>Mrs C Blues</cp:lastModifiedBy>
  <cp:revision>2</cp:revision>
  <dcterms:created xsi:type="dcterms:W3CDTF">2022-06-16T09:48:00Z</dcterms:created>
  <dcterms:modified xsi:type="dcterms:W3CDTF">2022-06-16T09:48:00Z</dcterms:modified>
</cp:coreProperties>
</file>